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47" w:rsidRDefault="00ED7821" w:rsidP="00391D27">
      <w:pPr>
        <w:jc w:val="center"/>
        <w:rPr>
          <w:sz w:val="28"/>
          <w:szCs w:val="28"/>
        </w:rPr>
      </w:pPr>
      <w:r w:rsidRPr="00391D27">
        <w:rPr>
          <w:sz w:val="28"/>
          <w:szCs w:val="28"/>
        </w:rPr>
        <w:t xml:space="preserve">АДМИНИСТРАЦИЯ </w:t>
      </w:r>
    </w:p>
    <w:p w:rsidR="000F6847" w:rsidRPr="00391D27" w:rsidRDefault="005F5AC7" w:rsidP="000F6847">
      <w:pPr>
        <w:jc w:val="center"/>
        <w:rPr>
          <w:sz w:val="28"/>
          <w:szCs w:val="28"/>
        </w:rPr>
      </w:pPr>
      <w:r>
        <w:rPr>
          <w:sz w:val="28"/>
          <w:szCs w:val="28"/>
        </w:rPr>
        <w:t>МАЙСКОГО</w:t>
      </w:r>
      <w:r w:rsidR="00ED7821" w:rsidRPr="00391D27">
        <w:rPr>
          <w:sz w:val="28"/>
          <w:szCs w:val="28"/>
        </w:rPr>
        <w:t xml:space="preserve"> СЕЛЬСОВЕТА</w:t>
      </w:r>
    </w:p>
    <w:p w:rsidR="000F6847" w:rsidRDefault="000F6847" w:rsidP="00391D2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КРАСНОЗЁРСКОГО РАЙОНА</w:t>
      </w:r>
    </w:p>
    <w:p w:rsidR="00ED7821" w:rsidRPr="00391D27" w:rsidRDefault="00ED7821" w:rsidP="00391D27">
      <w:pPr>
        <w:jc w:val="center"/>
        <w:rPr>
          <w:sz w:val="28"/>
          <w:szCs w:val="28"/>
        </w:rPr>
      </w:pPr>
      <w:r w:rsidRPr="00391D27">
        <w:rPr>
          <w:sz w:val="28"/>
          <w:szCs w:val="28"/>
        </w:rPr>
        <w:t xml:space="preserve"> НОВОСИБИРСКОЙ ОБЛАСТИ</w:t>
      </w:r>
    </w:p>
    <w:p w:rsidR="00ED7821" w:rsidRPr="00391D27" w:rsidRDefault="00ED7821" w:rsidP="00391D27">
      <w:pPr>
        <w:jc w:val="center"/>
        <w:rPr>
          <w:sz w:val="28"/>
          <w:szCs w:val="28"/>
        </w:rPr>
      </w:pPr>
    </w:p>
    <w:p w:rsidR="00ED7821" w:rsidRPr="00391D27" w:rsidRDefault="00ED7821" w:rsidP="00693FA9">
      <w:pPr>
        <w:jc w:val="center"/>
        <w:rPr>
          <w:sz w:val="28"/>
          <w:szCs w:val="28"/>
        </w:rPr>
      </w:pPr>
      <w:r w:rsidRPr="00391D27">
        <w:rPr>
          <w:sz w:val="28"/>
          <w:szCs w:val="28"/>
        </w:rPr>
        <w:t>ПОСТАНОВЛЕНИЕ</w:t>
      </w:r>
    </w:p>
    <w:p w:rsidR="00ED7821" w:rsidRPr="00391D27" w:rsidRDefault="00ED7821" w:rsidP="00ED7821">
      <w:pPr>
        <w:rPr>
          <w:b/>
          <w:sz w:val="28"/>
          <w:szCs w:val="28"/>
        </w:rPr>
      </w:pPr>
    </w:p>
    <w:p w:rsidR="00A1740B" w:rsidRPr="00391D27" w:rsidRDefault="006B1B39" w:rsidP="00ED7821">
      <w:pPr>
        <w:rPr>
          <w:sz w:val="28"/>
          <w:szCs w:val="28"/>
        </w:rPr>
      </w:pPr>
      <w:r w:rsidRPr="00391D27">
        <w:rPr>
          <w:sz w:val="28"/>
          <w:szCs w:val="28"/>
        </w:rPr>
        <w:t xml:space="preserve">От  </w:t>
      </w:r>
      <w:r w:rsidR="00E80F1E">
        <w:rPr>
          <w:sz w:val="28"/>
          <w:szCs w:val="28"/>
        </w:rPr>
        <w:t>30</w:t>
      </w:r>
      <w:r w:rsidR="000A693F" w:rsidRPr="00391D27">
        <w:rPr>
          <w:sz w:val="28"/>
          <w:szCs w:val="28"/>
        </w:rPr>
        <w:t>.</w:t>
      </w:r>
      <w:r w:rsidR="00A13655">
        <w:rPr>
          <w:sz w:val="28"/>
          <w:szCs w:val="28"/>
        </w:rPr>
        <w:t>0</w:t>
      </w:r>
      <w:r w:rsidR="00E80F1E">
        <w:rPr>
          <w:sz w:val="28"/>
          <w:szCs w:val="28"/>
        </w:rPr>
        <w:t>7</w:t>
      </w:r>
      <w:r w:rsidR="00C45AA7" w:rsidRPr="00391D27">
        <w:rPr>
          <w:sz w:val="28"/>
          <w:szCs w:val="28"/>
        </w:rPr>
        <w:t>.201</w:t>
      </w:r>
      <w:r w:rsidR="007D0EB4">
        <w:rPr>
          <w:sz w:val="28"/>
          <w:szCs w:val="28"/>
        </w:rPr>
        <w:t>9</w:t>
      </w:r>
      <w:r w:rsidR="00693FA9">
        <w:rPr>
          <w:sz w:val="28"/>
          <w:szCs w:val="28"/>
        </w:rPr>
        <w:t xml:space="preserve">                                   </w:t>
      </w:r>
      <w:r w:rsidR="00E80F1E">
        <w:rPr>
          <w:sz w:val="28"/>
          <w:szCs w:val="28"/>
        </w:rPr>
        <w:t>с.Майское</w:t>
      </w:r>
      <w:r w:rsidR="00CE6A73" w:rsidRPr="00391D27">
        <w:rPr>
          <w:sz w:val="28"/>
          <w:szCs w:val="28"/>
        </w:rPr>
        <w:t xml:space="preserve">  </w:t>
      </w:r>
      <w:r w:rsidR="00693FA9">
        <w:rPr>
          <w:sz w:val="28"/>
          <w:szCs w:val="28"/>
        </w:rPr>
        <w:t xml:space="preserve">                                       </w:t>
      </w:r>
      <w:r w:rsidR="00CE6A73" w:rsidRPr="00391D27">
        <w:rPr>
          <w:sz w:val="28"/>
          <w:szCs w:val="28"/>
        </w:rPr>
        <w:t xml:space="preserve"> №  </w:t>
      </w:r>
      <w:r w:rsidR="00E80F1E">
        <w:rPr>
          <w:sz w:val="28"/>
          <w:szCs w:val="28"/>
        </w:rPr>
        <w:t>35</w:t>
      </w:r>
    </w:p>
    <w:p w:rsidR="00391D27" w:rsidRDefault="00391D27" w:rsidP="00ED7821">
      <w:pPr>
        <w:rPr>
          <w:sz w:val="28"/>
          <w:szCs w:val="28"/>
        </w:rPr>
      </w:pP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>«О внесении изменений в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>сводную бюджетную роспись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7D0EB4">
        <w:rPr>
          <w:sz w:val="28"/>
          <w:szCs w:val="28"/>
        </w:rPr>
        <w:t>9</w:t>
      </w:r>
      <w:r>
        <w:rPr>
          <w:sz w:val="28"/>
          <w:szCs w:val="28"/>
        </w:rPr>
        <w:t xml:space="preserve"> год»         </w:t>
      </w:r>
    </w:p>
    <w:p w:rsidR="005F6C23" w:rsidRDefault="005F6C23" w:rsidP="005F6C23">
      <w:pPr>
        <w:ind w:right="355"/>
        <w:rPr>
          <w:sz w:val="28"/>
          <w:szCs w:val="28"/>
        </w:rPr>
      </w:pPr>
    </w:p>
    <w:p w:rsidR="005F6C23" w:rsidRDefault="005F6C23" w:rsidP="0068708D">
      <w:pPr>
        <w:ind w:firstLine="38"/>
        <w:jc w:val="both"/>
        <w:rPr>
          <w:sz w:val="28"/>
          <w:szCs w:val="28"/>
        </w:rPr>
      </w:pPr>
      <w:r w:rsidRPr="00077803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п.3</w:t>
      </w:r>
      <w:r w:rsidRPr="00077803">
        <w:rPr>
          <w:sz w:val="28"/>
          <w:szCs w:val="28"/>
        </w:rPr>
        <w:t xml:space="preserve"> ст. 217 Бюджетного кодекса Российской Федерации, </w:t>
      </w:r>
      <w:r>
        <w:rPr>
          <w:sz w:val="28"/>
          <w:szCs w:val="28"/>
        </w:rPr>
        <w:t xml:space="preserve"> п. 4.3 раздела 4 </w:t>
      </w:r>
      <w:r w:rsidRPr="00077803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077803">
        <w:rPr>
          <w:sz w:val="28"/>
          <w:szCs w:val="28"/>
        </w:rPr>
        <w:t xml:space="preserve"> составления и ведения сводной бюджетной росписи бюджет</w:t>
      </w:r>
      <w:r>
        <w:rPr>
          <w:sz w:val="28"/>
          <w:szCs w:val="28"/>
        </w:rPr>
        <w:t xml:space="preserve">а </w:t>
      </w:r>
      <w:r w:rsidR="00E80F1E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</w:t>
      </w:r>
      <w:r w:rsidRPr="00077803">
        <w:rPr>
          <w:sz w:val="28"/>
          <w:szCs w:val="28"/>
        </w:rPr>
        <w:t xml:space="preserve"> Краснозерского района Новосибирской области и бюджетной росписи главного распорядителя средств бюджета</w:t>
      </w:r>
      <w:r w:rsidR="00E80F1E">
        <w:rPr>
          <w:sz w:val="28"/>
          <w:szCs w:val="28"/>
        </w:rPr>
        <w:t xml:space="preserve"> Майского</w:t>
      </w:r>
      <w:r>
        <w:rPr>
          <w:sz w:val="28"/>
          <w:szCs w:val="28"/>
        </w:rPr>
        <w:t xml:space="preserve"> сельсовета</w:t>
      </w:r>
      <w:r w:rsidRPr="00077803">
        <w:rPr>
          <w:sz w:val="28"/>
          <w:szCs w:val="28"/>
        </w:rPr>
        <w:t xml:space="preserve"> Краснозерского района Новосибирской области (главного администратора источников финансирования дефицита бюджета</w:t>
      </w:r>
      <w:r w:rsidR="00E80F1E">
        <w:rPr>
          <w:sz w:val="28"/>
          <w:szCs w:val="28"/>
        </w:rPr>
        <w:t xml:space="preserve"> Майского</w:t>
      </w:r>
      <w:r>
        <w:rPr>
          <w:sz w:val="28"/>
          <w:szCs w:val="28"/>
        </w:rPr>
        <w:t xml:space="preserve"> сельсовета</w:t>
      </w:r>
      <w:r w:rsidRPr="00077803">
        <w:rPr>
          <w:sz w:val="28"/>
          <w:szCs w:val="28"/>
        </w:rPr>
        <w:t xml:space="preserve"> Краснозерского района Новосибирской области), утвержденн</w:t>
      </w:r>
      <w:r>
        <w:rPr>
          <w:sz w:val="28"/>
          <w:szCs w:val="28"/>
        </w:rPr>
        <w:t>ого</w:t>
      </w:r>
      <w:r w:rsidRPr="00077803">
        <w:rPr>
          <w:sz w:val="28"/>
          <w:szCs w:val="28"/>
        </w:rPr>
        <w:t xml:space="preserve"> постановлением администрации </w:t>
      </w:r>
      <w:r w:rsidR="00E80F1E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 </w:t>
      </w:r>
      <w:r w:rsidRPr="00077803">
        <w:rPr>
          <w:sz w:val="28"/>
          <w:szCs w:val="28"/>
        </w:rPr>
        <w:t>Краснозерского</w:t>
      </w:r>
      <w:r w:rsidR="00E80F1E">
        <w:rPr>
          <w:sz w:val="28"/>
          <w:szCs w:val="28"/>
        </w:rPr>
        <w:t xml:space="preserve"> </w:t>
      </w:r>
      <w:r w:rsidRPr="00077803">
        <w:rPr>
          <w:sz w:val="28"/>
          <w:szCs w:val="28"/>
        </w:rPr>
        <w:t xml:space="preserve">района Новосибирской области </w:t>
      </w:r>
      <w:r>
        <w:rPr>
          <w:sz w:val="28"/>
          <w:szCs w:val="28"/>
        </w:rPr>
        <w:t xml:space="preserve">№ </w:t>
      </w:r>
      <w:r w:rsidR="00E80F1E">
        <w:rPr>
          <w:sz w:val="28"/>
          <w:szCs w:val="28"/>
        </w:rPr>
        <w:t xml:space="preserve">46 </w:t>
      </w:r>
      <w:r w:rsidRPr="00077803">
        <w:rPr>
          <w:sz w:val="28"/>
          <w:szCs w:val="28"/>
        </w:rPr>
        <w:t>от</w:t>
      </w:r>
      <w:r w:rsidR="00E80F1E">
        <w:rPr>
          <w:sz w:val="28"/>
          <w:szCs w:val="28"/>
        </w:rPr>
        <w:t xml:space="preserve"> 11</w:t>
      </w:r>
      <w:r w:rsidRPr="005F6C23">
        <w:rPr>
          <w:sz w:val="28"/>
          <w:szCs w:val="28"/>
        </w:rPr>
        <w:t>.</w:t>
      </w:r>
      <w:r w:rsidR="00E80F1E">
        <w:rPr>
          <w:sz w:val="28"/>
          <w:szCs w:val="28"/>
        </w:rPr>
        <w:t>12</w:t>
      </w:r>
      <w:r w:rsidRPr="005F6C23">
        <w:rPr>
          <w:sz w:val="28"/>
          <w:szCs w:val="28"/>
        </w:rPr>
        <w:t>.1</w:t>
      </w:r>
      <w:r w:rsidR="00E80F1E">
        <w:rPr>
          <w:sz w:val="28"/>
          <w:szCs w:val="28"/>
        </w:rPr>
        <w:t>8</w:t>
      </w:r>
      <w:r w:rsidRPr="005F6C23">
        <w:rPr>
          <w:sz w:val="28"/>
          <w:szCs w:val="28"/>
        </w:rPr>
        <w:t>г.</w:t>
      </w:r>
    </w:p>
    <w:p w:rsidR="005F6C23" w:rsidRDefault="005F6C23" w:rsidP="0068708D">
      <w:pPr>
        <w:ind w:left="-360" w:firstLine="76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F6C23" w:rsidRDefault="005F6C23" w:rsidP="0068708D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Pr="008231A9">
        <w:rPr>
          <w:sz w:val="28"/>
          <w:szCs w:val="28"/>
        </w:rPr>
        <w:t>нести изменения в</w:t>
      </w:r>
      <w:r>
        <w:rPr>
          <w:sz w:val="28"/>
          <w:szCs w:val="28"/>
        </w:rPr>
        <w:t xml:space="preserve"> показатели</w:t>
      </w:r>
      <w:r w:rsidRPr="008231A9">
        <w:rPr>
          <w:sz w:val="28"/>
          <w:szCs w:val="28"/>
        </w:rPr>
        <w:t xml:space="preserve">  сводн</w:t>
      </w:r>
      <w:r>
        <w:rPr>
          <w:sz w:val="28"/>
          <w:szCs w:val="28"/>
        </w:rPr>
        <w:t>ой</w:t>
      </w:r>
      <w:r w:rsidRPr="008231A9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ой</w:t>
      </w:r>
      <w:r w:rsidRPr="008231A9">
        <w:rPr>
          <w:sz w:val="28"/>
          <w:szCs w:val="28"/>
        </w:rPr>
        <w:t xml:space="preserve"> роспис</w:t>
      </w:r>
      <w:r>
        <w:rPr>
          <w:sz w:val="28"/>
          <w:szCs w:val="28"/>
        </w:rPr>
        <w:t>и</w:t>
      </w:r>
      <w:r w:rsidRPr="008231A9">
        <w:rPr>
          <w:sz w:val="28"/>
          <w:szCs w:val="28"/>
        </w:rPr>
        <w:t xml:space="preserve"> бюджета</w:t>
      </w:r>
      <w:r w:rsidR="00E80F1E">
        <w:rPr>
          <w:sz w:val="28"/>
          <w:szCs w:val="28"/>
        </w:rPr>
        <w:t xml:space="preserve"> Майского</w:t>
      </w:r>
      <w:r>
        <w:rPr>
          <w:sz w:val="28"/>
          <w:szCs w:val="28"/>
        </w:rPr>
        <w:t xml:space="preserve"> сельсовета Краснозерского района Новосибирской области </w:t>
      </w:r>
      <w:r w:rsidR="000330C4">
        <w:rPr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7D0EB4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 связанные с особенностями исполнения  бюджета </w:t>
      </w:r>
      <w:r w:rsidR="00E80F1E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 Краснозерского района Новосибирской области </w:t>
      </w:r>
      <w:r w:rsidR="0066480A">
        <w:rPr>
          <w:sz w:val="28"/>
          <w:szCs w:val="28"/>
        </w:rPr>
        <w:t>согласно приложений 1и 2.</w:t>
      </w:r>
    </w:p>
    <w:p w:rsidR="005F6C23" w:rsidRPr="00077803" w:rsidRDefault="005F6C23" w:rsidP="0068708D">
      <w:pPr>
        <w:ind w:left="-360" w:right="27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5F6C23" w:rsidRPr="00077803" w:rsidRDefault="005F6C23" w:rsidP="005F6C23">
      <w:pPr>
        <w:ind w:left="-360" w:firstLine="540"/>
        <w:jc w:val="both"/>
        <w:rPr>
          <w:sz w:val="28"/>
          <w:szCs w:val="28"/>
        </w:rPr>
      </w:pPr>
    </w:p>
    <w:p w:rsidR="005F6C23" w:rsidRDefault="005F6C23" w:rsidP="005F6C23">
      <w:pPr>
        <w:ind w:firstLine="540"/>
        <w:jc w:val="both"/>
        <w:rPr>
          <w:sz w:val="28"/>
          <w:szCs w:val="28"/>
        </w:rPr>
      </w:pPr>
    </w:p>
    <w:p w:rsidR="005F6C23" w:rsidRDefault="005F6C23" w:rsidP="005F6C23">
      <w:pPr>
        <w:ind w:firstLine="540"/>
        <w:jc w:val="both"/>
        <w:rPr>
          <w:sz w:val="28"/>
          <w:szCs w:val="28"/>
        </w:rPr>
      </w:pP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80F1E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 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 </w:t>
      </w:r>
    </w:p>
    <w:p w:rsidR="005F6C23" w:rsidRDefault="005F6C23" w:rsidP="005F6C23">
      <w:pPr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</w:t>
      </w:r>
      <w:r w:rsidR="00E80F1E">
        <w:rPr>
          <w:sz w:val="28"/>
          <w:szCs w:val="28"/>
        </w:rPr>
        <w:t xml:space="preserve"> Н.А.Марченко</w:t>
      </w:r>
    </w:p>
    <w:p w:rsidR="005F6C23" w:rsidRDefault="005F6C23" w:rsidP="005F6C23">
      <w:pPr>
        <w:ind w:right="355"/>
        <w:rPr>
          <w:sz w:val="28"/>
          <w:szCs w:val="28"/>
        </w:rPr>
      </w:pPr>
    </w:p>
    <w:p w:rsidR="005F6C23" w:rsidRPr="00AE559D" w:rsidRDefault="005F6C23" w:rsidP="005F6C23">
      <w:pPr>
        <w:ind w:right="355"/>
        <w:rPr>
          <w:sz w:val="20"/>
          <w:szCs w:val="20"/>
        </w:rPr>
      </w:pPr>
    </w:p>
    <w:p w:rsidR="005F6C23" w:rsidRDefault="005F6C23" w:rsidP="005F6C23">
      <w:pPr>
        <w:ind w:right="355"/>
      </w:pPr>
    </w:p>
    <w:p w:rsidR="005F6C23" w:rsidRDefault="005F6C23" w:rsidP="005F6C23">
      <w:pPr>
        <w:ind w:right="355"/>
      </w:pPr>
    </w:p>
    <w:p w:rsidR="005F6C23" w:rsidRDefault="005F6C23" w:rsidP="005F6C23">
      <w:pPr>
        <w:ind w:right="355"/>
      </w:pPr>
    </w:p>
    <w:p w:rsidR="005F6C23" w:rsidRDefault="005F6C23" w:rsidP="005F6C23">
      <w:pPr>
        <w:ind w:right="355"/>
      </w:pPr>
    </w:p>
    <w:p w:rsidR="0068708D" w:rsidRDefault="0068708D" w:rsidP="005F6C23">
      <w:pPr>
        <w:ind w:right="355"/>
        <w:rPr>
          <w:sz w:val="20"/>
          <w:szCs w:val="20"/>
        </w:rPr>
      </w:pPr>
    </w:p>
    <w:p w:rsidR="00E82F77" w:rsidRDefault="00E82F77" w:rsidP="005F6C23">
      <w:pPr>
        <w:ind w:right="355"/>
        <w:rPr>
          <w:sz w:val="20"/>
          <w:szCs w:val="20"/>
        </w:rPr>
      </w:pPr>
    </w:p>
    <w:p w:rsidR="005F6C23" w:rsidRPr="005F6C23" w:rsidRDefault="00E80F1E" w:rsidP="005F6C23">
      <w:pPr>
        <w:ind w:right="355"/>
        <w:rPr>
          <w:sz w:val="20"/>
          <w:szCs w:val="20"/>
        </w:rPr>
      </w:pPr>
      <w:r>
        <w:rPr>
          <w:sz w:val="20"/>
          <w:szCs w:val="20"/>
        </w:rPr>
        <w:t>Андриевская Н.в.</w:t>
      </w:r>
    </w:p>
    <w:p w:rsidR="00A1740B" w:rsidRDefault="00E80F1E" w:rsidP="007557A2">
      <w:pPr>
        <w:ind w:right="355"/>
        <w:rPr>
          <w:sz w:val="20"/>
          <w:szCs w:val="20"/>
        </w:rPr>
      </w:pPr>
      <w:r>
        <w:rPr>
          <w:sz w:val="20"/>
          <w:szCs w:val="20"/>
        </w:rPr>
        <w:t>68-184</w:t>
      </w:r>
    </w:p>
    <w:p w:rsidR="00174AFE" w:rsidRDefault="00174AFE" w:rsidP="007557A2">
      <w:pPr>
        <w:ind w:right="355"/>
        <w:rPr>
          <w:sz w:val="20"/>
          <w:szCs w:val="20"/>
        </w:rPr>
      </w:pPr>
    </w:p>
    <w:p w:rsidR="005823DD" w:rsidRDefault="005823DD" w:rsidP="007557A2">
      <w:pPr>
        <w:ind w:right="355"/>
        <w:rPr>
          <w:sz w:val="20"/>
          <w:szCs w:val="20"/>
        </w:rPr>
      </w:pPr>
    </w:p>
    <w:p w:rsidR="005823DD" w:rsidRDefault="005823DD" w:rsidP="007557A2">
      <w:pPr>
        <w:ind w:right="355"/>
        <w:rPr>
          <w:sz w:val="20"/>
          <w:szCs w:val="20"/>
        </w:rPr>
      </w:pPr>
    </w:p>
    <w:p w:rsidR="005823DD" w:rsidRPr="007557A2" w:rsidRDefault="005823DD" w:rsidP="007557A2">
      <w:pPr>
        <w:ind w:right="355"/>
        <w:rPr>
          <w:sz w:val="20"/>
          <w:szCs w:val="20"/>
        </w:rPr>
      </w:pPr>
    </w:p>
    <w:p w:rsidR="001B1FA4" w:rsidRDefault="001B1FA4" w:rsidP="00421FFF">
      <w:pPr>
        <w:ind w:left="4956"/>
        <w:jc w:val="right"/>
      </w:pPr>
    </w:p>
    <w:p w:rsidR="00E80F1E" w:rsidRDefault="00E80F1E" w:rsidP="00421FFF">
      <w:pPr>
        <w:ind w:left="4956"/>
        <w:jc w:val="right"/>
      </w:pPr>
    </w:p>
    <w:p w:rsidR="00E80F1E" w:rsidRDefault="00E80F1E" w:rsidP="00421FFF">
      <w:pPr>
        <w:ind w:left="4956"/>
        <w:jc w:val="right"/>
      </w:pPr>
    </w:p>
    <w:p w:rsidR="00421FFF" w:rsidRPr="00AB05A6" w:rsidRDefault="00421FFF" w:rsidP="00421FFF">
      <w:pPr>
        <w:ind w:left="4956"/>
        <w:jc w:val="right"/>
      </w:pPr>
      <w:r w:rsidRPr="00AB05A6">
        <w:lastRenderedPageBreak/>
        <w:t>Приложение 1 к постановлению</w:t>
      </w:r>
    </w:p>
    <w:p w:rsidR="00421FFF" w:rsidRPr="00AB05A6" w:rsidRDefault="00421FFF" w:rsidP="00421FFF">
      <w:pPr>
        <w:tabs>
          <w:tab w:val="left" w:pos="5103"/>
          <w:tab w:val="left" w:pos="5812"/>
        </w:tabs>
        <w:ind w:left="4956"/>
        <w:jc w:val="right"/>
      </w:pPr>
      <w:r w:rsidRPr="00AB05A6">
        <w:t xml:space="preserve">администрации </w:t>
      </w:r>
      <w:r w:rsidR="00E80F1E">
        <w:t>Майского</w:t>
      </w:r>
      <w:r w:rsidRPr="00AB05A6">
        <w:t xml:space="preserve"> сельсовета Краснозерского района Новосибирской области от </w:t>
      </w:r>
      <w:r w:rsidR="00E80F1E">
        <w:t>30</w:t>
      </w:r>
      <w:r w:rsidRPr="00AB05A6">
        <w:t>.</w:t>
      </w:r>
      <w:r w:rsidR="00A13655">
        <w:t>0</w:t>
      </w:r>
      <w:r w:rsidR="00E80F1E">
        <w:t>7</w:t>
      </w:r>
      <w:r w:rsidRPr="00AB05A6">
        <w:t>.201</w:t>
      </w:r>
      <w:r w:rsidR="007D0EB4">
        <w:t>9</w:t>
      </w:r>
      <w:r w:rsidRPr="00AB05A6">
        <w:t xml:space="preserve">г. № </w:t>
      </w:r>
      <w:r w:rsidR="00E80F1E">
        <w:t>35</w:t>
      </w:r>
    </w:p>
    <w:p w:rsidR="006B63EE" w:rsidRPr="00887F5C" w:rsidRDefault="006B63EE" w:rsidP="006B63EE">
      <w:pPr>
        <w:jc w:val="center"/>
        <w:rPr>
          <w:sz w:val="28"/>
          <w:szCs w:val="28"/>
        </w:rPr>
      </w:pPr>
      <w:r w:rsidRPr="00887F5C">
        <w:rPr>
          <w:sz w:val="28"/>
          <w:szCs w:val="28"/>
        </w:rPr>
        <w:t>Изменение сводной бюджетной росписи</w:t>
      </w:r>
    </w:p>
    <w:p w:rsidR="00421FFF" w:rsidRPr="00AB05A6" w:rsidRDefault="006B63EE" w:rsidP="006B63EE">
      <w:pPr>
        <w:jc w:val="center"/>
      </w:pPr>
      <w:r w:rsidRPr="006B63EE">
        <w:rPr>
          <w:sz w:val="28"/>
          <w:szCs w:val="28"/>
        </w:rPr>
        <w:t xml:space="preserve">по </w:t>
      </w:r>
      <w:r>
        <w:rPr>
          <w:sz w:val="28"/>
          <w:szCs w:val="28"/>
        </w:rPr>
        <w:t>доходам</w:t>
      </w:r>
    </w:p>
    <w:p w:rsidR="00421FFF" w:rsidRPr="00AB05A6" w:rsidRDefault="00421FFF" w:rsidP="00421FFF">
      <w:pPr>
        <w:ind w:left="7788" w:right="355"/>
      </w:pPr>
      <w:r w:rsidRPr="00AB05A6">
        <w:t xml:space="preserve">                 тыс.руб.</w:t>
      </w:r>
    </w:p>
    <w:tbl>
      <w:tblPr>
        <w:tblStyle w:val="a5"/>
        <w:tblW w:w="9923" w:type="dxa"/>
        <w:tblInd w:w="108" w:type="dxa"/>
        <w:tblLayout w:type="fixed"/>
        <w:tblLook w:val="01E0"/>
      </w:tblPr>
      <w:tblGrid>
        <w:gridCol w:w="2831"/>
        <w:gridCol w:w="3406"/>
        <w:gridCol w:w="1560"/>
        <w:gridCol w:w="850"/>
        <w:gridCol w:w="1276"/>
      </w:tblGrid>
      <w:tr w:rsidR="00421FFF" w:rsidRPr="00CD2495" w:rsidTr="00D34115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FFF" w:rsidRPr="00887F5C" w:rsidRDefault="00421FFF" w:rsidP="004116F5">
            <w:pPr>
              <w:ind w:right="355"/>
              <w:jc w:val="center"/>
            </w:pPr>
            <w:r w:rsidRPr="00887F5C">
              <w:t>КБК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FFF" w:rsidRPr="00887F5C" w:rsidRDefault="00421FFF" w:rsidP="004116F5">
            <w:pPr>
              <w:ind w:right="355"/>
            </w:pPr>
            <w:r w:rsidRPr="00887F5C">
              <w:t>Наименование источников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FFF" w:rsidRPr="00887F5C" w:rsidRDefault="00421FFF" w:rsidP="004116F5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Показатели сводной бюджетной росписи, утвержденные решением о бюджете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FFF" w:rsidRPr="00887F5C" w:rsidRDefault="00421FFF" w:rsidP="004116F5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 xml:space="preserve">Вносимые изменения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FFF" w:rsidRPr="00887F5C" w:rsidRDefault="00421FFF" w:rsidP="004116F5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Показатели сводной бюджетной росписи с учетом внесенных изменений</w:t>
            </w:r>
          </w:p>
        </w:tc>
      </w:tr>
    </w:tbl>
    <w:tbl>
      <w:tblPr>
        <w:tblW w:w="9938" w:type="dxa"/>
        <w:tblInd w:w="93" w:type="dxa"/>
        <w:tblLook w:val="04A0"/>
      </w:tblPr>
      <w:tblGrid>
        <w:gridCol w:w="2895"/>
        <w:gridCol w:w="3357"/>
        <w:gridCol w:w="1559"/>
        <w:gridCol w:w="966"/>
        <w:gridCol w:w="1161"/>
      </w:tblGrid>
      <w:tr w:rsidR="00887F5C" w:rsidRPr="00CD2495" w:rsidTr="004A0390">
        <w:trPr>
          <w:trHeight w:val="78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887F5C" w:rsidRPr="00E91858" w:rsidRDefault="00887F5C" w:rsidP="004116F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E91858">
              <w:rPr>
                <w:rFonts w:ascii="Arial CYR" w:hAnsi="Arial CYR" w:cs="Arial CYR"/>
                <w:bCs/>
                <w:sz w:val="20"/>
                <w:szCs w:val="20"/>
              </w:rPr>
              <w:t>ИТОГО ДОХОДЫ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87F5C" w:rsidRDefault="00887F5C" w:rsidP="00AA02FF"/>
          <w:p w:rsidR="00D34115" w:rsidRDefault="00D34115" w:rsidP="00AA02FF"/>
          <w:p w:rsidR="00D34115" w:rsidRPr="00AA02FF" w:rsidRDefault="00D34115" w:rsidP="00AA02FF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F5C" w:rsidRPr="00E91858" w:rsidRDefault="00E80F1E" w:rsidP="00E91858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23003,9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F5C" w:rsidRPr="00E91858" w:rsidRDefault="00E80F1E" w:rsidP="00887F5C">
            <w:pPr>
              <w:jc w:val="center"/>
            </w:pPr>
            <w:r>
              <w:t>-40</w:t>
            </w:r>
            <w:r w:rsidR="00353294">
              <w:t>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7F5C" w:rsidRPr="00E91858" w:rsidRDefault="00E80F1E" w:rsidP="004116F5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23963,9</w:t>
            </w:r>
          </w:p>
        </w:tc>
      </w:tr>
      <w:tr w:rsidR="00951DB2" w:rsidRPr="00CD2495" w:rsidTr="004A0390">
        <w:trPr>
          <w:trHeight w:val="244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51DB2" w:rsidRPr="00E91858" w:rsidRDefault="0075042D" w:rsidP="004116F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204</w:t>
            </w:r>
            <w:r w:rsidR="00951DB2" w:rsidRPr="00E91858">
              <w:rPr>
                <w:rFonts w:ascii="Arial CYR" w:hAnsi="Arial CYR" w:cs="Arial CYR"/>
                <w:bCs/>
                <w:sz w:val="20"/>
                <w:szCs w:val="20"/>
              </w:rPr>
              <w:t xml:space="preserve"> 2 00 00000 00 0000 000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DB2" w:rsidRPr="00E91858" w:rsidRDefault="00951DB2" w:rsidP="00887F5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91858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DB2" w:rsidRPr="004A0390" w:rsidRDefault="00E80F1E" w:rsidP="002B24B0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8743,4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DB2" w:rsidRPr="004A0390" w:rsidRDefault="00E80F1E" w:rsidP="002B24B0">
            <w:pPr>
              <w:jc w:val="center"/>
            </w:pPr>
            <w:r>
              <w:t>-40</w:t>
            </w:r>
            <w:r w:rsidR="00353294">
              <w:t>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DB2" w:rsidRPr="004A0390" w:rsidRDefault="00E80F1E" w:rsidP="002B24B0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8703,4</w:t>
            </w:r>
          </w:p>
        </w:tc>
      </w:tr>
      <w:tr w:rsidR="00C83087" w:rsidRPr="00CD2495" w:rsidTr="004A0390">
        <w:trPr>
          <w:trHeight w:val="1331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83087" w:rsidRPr="00353294" w:rsidRDefault="0075042D" w:rsidP="00887F5C">
            <w:pPr>
              <w:jc w:val="center"/>
              <w:rPr>
                <w:sz w:val="20"/>
                <w:szCs w:val="20"/>
              </w:rPr>
            </w:pPr>
            <w:r w:rsidRPr="00353294">
              <w:rPr>
                <w:bCs/>
                <w:sz w:val="20"/>
                <w:szCs w:val="20"/>
              </w:rPr>
              <w:t>204</w:t>
            </w:r>
            <w:r w:rsidR="00C83087" w:rsidRPr="00353294">
              <w:rPr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3357" w:type="dxa"/>
            <w:tcBorders>
              <w:bottom w:val="single" w:sz="4" w:space="0" w:color="auto"/>
            </w:tcBorders>
            <w:vAlign w:val="center"/>
            <w:hideMark/>
          </w:tcPr>
          <w:p w:rsidR="00C83087" w:rsidRPr="00E91858" w:rsidRDefault="00C83087" w:rsidP="00887F5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E91858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087" w:rsidRPr="004A0390" w:rsidRDefault="00E80F1E" w:rsidP="006829C2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8743,4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087" w:rsidRPr="004A0390" w:rsidRDefault="00E80F1E" w:rsidP="006829C2">
            <w:pPr>
              <w:jc w:val="center"/>
            </w:pPr>
            <w:r>
              <w:t>-40,0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087" w:rsidRPr="004A0390" w:rsidRDefault="00E80F1E" w:rsidP="006829C2">
            <w:pPr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8703,4</w:t>
            </w:r>
          </w:p>
        </w:tc>
      </w:tr>
      <w:tr w:rsidR="00544A3D" w:rsidRPr="00CD2495" w:rsidTr="008F28C3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53294" w:rsidRPr="00353294" w:rsidRDefault="00353294" w:rsidP="00353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  <w:r w:rsidRPr="00353294">
              <w:rPr>
                <w:sz w:val="20"/>
                <w:szCs w:val="20"/>
              </w:rPr>
              <w:t xml:space="preserve"> 2 02 49999 00 0000 150</w:t>
            </w:r>
          </w:p>
          <w:p w:rsidR="00544A3D" w:rsidRPr="00E91858" w:rsidRDefault="00544A3D" w:rsidP="0075042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294" w:rsidRDefault="00353294" w:rsidP="00353294">
            <w:r>
              <w:t>Прочие  межбюджетные трансферты , передаваемые бюджетам</w:t>
            </w:r>
          </w:p>
          <w:p w:rsidR="00544A3D" w:rsidRPr="00E91858" w:rsidRDefault="00544A3D" w:rsidP="00887F5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A3D" w:rsidRPr="004A0390" w:rsidRDefault="00E80F1E" w:rsidP="008F28C3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8743,4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A3D" w:rsidRPr="004A0390" w:rsidRDefault="00E80F1E" w:rsidP="008F28C3">
            <w:pPr>
              <w:jc w:val="center"/>
            </w:pPr>
            <w:r>
              <w:t>-40,0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A3D" w:rsidRPr="004A0390" w:rsidRDefault="00E80F1E" w:rsidP="008F28C3">
            <w:pPr>
              <w:jc w:val="center"/>
            </w:pPr>
            <w:r>
              <w:rPr>
                <w:rFonts w:ascii="Times New Roman CYR" w:hAnsi="Times New Roman CYR" w:cs="Times New Roman CYR"/>
                <w:bCs/>
              </w:rPr>
              <w:t>8703,4</w:t>
            </w:r>
          </w:p>
        </w:tc>
      </w:tr>
      <w:tr w:rsidR="00544A3D" w:rsidRPr="00CD2495" w:rsidTr="008F28C3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252A7" w:rsidRPr="002E36B0" w:rsidRDefault="002E36B0" w:rsidP="006252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  <w:r w:rsidR="006252A7" w:rsidRPr="002E36B0">
              <w:rPr>
                <w:sz w:val="20"/>
                <w:szCs w:val="20"/>
              </w:rPr>
              <w:t xml:space="preserve"> 2 02 </w:t>
            </w:r>
            <w:r w:rsidR="007D0EB4">
              <w:rPr>
                <w:sz w:val="20"/>
                <w:szCs w:val="20"/>
              </w:rPr>
              <w:t xml:space="preserve">49999 </w:t>
            </w:r>
            <w:r w:rsidR="006252A7" w:rsidRPr="002E36B0">
              <w:rPr>
                <w:sz w:val="20"/>
                <w:szCs w:val="20"/>
              </w:rPr>
              <w:t>10 0000 15</w:t>
            </w:r>
            <w:r w:rsidR="007D0EB4">
              <w:rPr>
                <w:sz w:val="20"/>
                <w:szCs w:val="20"/>
              </w:rPr>
              <w:t>0</w:t>
            </w:r>
          </w:p>
          <w:p w:rsidR="00544A3D" w:rsidRPr="002E36B0" w:rsidRDefault="00544A3D" w:rsidP="00750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52A7" w:rsidRDefault="007D0EB4" w:rsidP="006252A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Прочие </w:t>
            </w:r>
            <w:proofErr w:type="spellStart"/>
            <w:r>
              <w:rPr>
                <w:rFonts w:ascii="Times New Roman CYR" w:hAnsi="Times New Roman CYR" w:cs="Times New Roman CYR"/>
              </w:rPr>
              <w:t>междбюджетные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r w:rsidR="00353294">
              <w:rPr>
                <w:rFonts w:ascii="Times New Roman CYR" w:hAnsi="Times New Roman CYR" w:cs="Times New Roman CYR"/>
              </w:rPr>
              <w:t>трансферты, передаваемые бюджетам сельских поселений</w:t>
            </w:r>
          </w:p>
          <w:p w:rsidR="00544A3D" w:rsidRPr="00E91858" w:rsidRDefault="00544A3D" w:rsidP="00887F5C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4A3D" w:rsidRPr="004A0390" w:rsidRDefault="00E80F1E" w:rsidP="008F28C3">
            <w:pPr>
              <w:jc w:val="center"/>
              <w:rPr>
                <w:rFonts w:ascii="Bookman Old Style" w:hAnsi="Bookman Old Style" w:cs="Arial CYR"/>
              </w:rPr>
            </w:pPr>
            <w:r>
              <w:rPr>
                <w:rFonts w:ascii="Bookman Old Style" w:hAnsi="Bookman Old Style" w:cs="Arial CYR"/>
              </w:rPr>
              <w:t>8743,4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A3D" w:rsidRPr="004A0390" w:rsidRDefault="00E80F1E" w:rsidP="008F28C3">
            <w:pPr>
              <w:jc w:val="center"/>
            </w:pPr>
            <w:r>
              <w:t>-40,0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A3D" w:rsidRPr="004A0390" w:rsidRDefault="00E80F1E" w:rsidP="00604048">
            <w:pPr>
              <w:jc w:val="center"/>
            </w:pPr>
            <w:r>
              <w:rPr>
                <w:rFonts w:ascii="Times New Roman CYR" w:hAnsi="Times New Roman CYR" w:cs="Times New Roman CYR"/>
                <w:bCs/>
              </w:rPr>
              <w:t>8703,4</w:t>
            </w:r>
          </w:p>
        </w:tc>
      </w:tr>
    </w:tbl>
    <w:p w:rsidR="0068708D" w:rsidRPr="00CD2495" w:rsidRDefault="0068708D" w:rsidP="005F6C23">
      <w:pPr>
        <w:ind w:right="355"/>
        <w:rPr>
          <w:sz w:val="20"/>
          <w:szCs w:val="20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E5547D" w:rsidRDefault="00E5547D" w:rsidP="005E7E2E">
      <w:pPr>
        <w:ind w:left="4956"/>
        <w:jc w:val="right"/>
        <w:rPr>
          <w:sz w:val="28"/>
          <w:szCs w:val="28"/>
          <w:highlight w:val="yellow"/>
        </w:rPr>
      </w:pPr>
    </w:p>
    <w:p w:rsidR="00174AFE" w:rsidRDefault="00174AFE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353294" w:rsidRDefault="00353294" w:rsidP="00A426A1">
      <w:pPr>
        <w:rPr>
          <w:sz w:val="28"/>
          <w:szCs w:val="28"/>
          <w:highlight w:val="yellow"/>
        </w:rPr>
      </w:pPr>
    </w:p>
    <w:p w:rsidR="00A426A1" w:rsidRDefault="00A426A1" w:rsidP="00A426A1">
      <w:pPr>
        <w:rPr>
          <w:sz w:val="28"/>
          <w:szCs w:val="28"/>
          <w:highlight w:val="yellow"/>
        </w:rPr>
      </w:pPr>
    </w:p>
    <w:p w:rsidR="001B1FA4" w:rsidRDefault="001B1FA4" w:rsidP="00A426A1">
      <w:pPr>
        <w:rPr>
          <w:sz w:val="28"/>
          <w:szCs w:val="28"/>
          <w:highlight w:val="yellow"/>
        </w:rPr>
      </w:pPr>
    </w:p>
    <w:p w:rsidR="00115C06" w:rsidRDefault="00115C06" w:rsidP="00A426A1">
      <w:pPr>
        <w:rPr>
          <w:sz w:val="28"/>
          <w:szCs w:val="28"/>
          <w:highlight w:val="yellow"/>
        </w:rPr>
      </w:pPr>
    </w:p>
    <w:p w:rsidR="00115C06" w:rsidRDefault="00115C06" w:rsidP="00A426A1">
      <w:pPr>
        <w:rPr>
          <w:sz w:val="28"/>
          <w:szCs w:val="28"/>
          <w:highlight w:val="yellow"/>
        </w:rPr>
      </w:pPr>
    </w:p>
    <w:p w:rsidR="00115C06" w:rsidRDefault="00115C06" w:rsidP="00A426A1">
      <w:pPr>
        <w:rPr>
          <w:sz w:val="28"/>
          <w:szCs w:val="28"/>
          <w:highlight w:val="yellow"/>
        </w:rPr>
      </w:pPr>
    </w:p>
    <w:p w:rsidR="005F6C23" w:rsidRPr="00B369AD" w:rsidRDefault="005F6C23" w:rsidP="00B369AD">
      <w:pPr>
        <w:jc w:val="right"/>
        <w:rPr>
          <w:sz w:val="28"/>
          <w:szCs w:val="28"/>
          <w:highlight w:val="yellow"/>
        </w:rPr>
      </w:pPr>
      <w:r w:rsidRPr="00887F5C">
        <w:t>Приложение</w:t>
      </w:r>
      <w:r w:rsidR="0066480A" w:rsidRPr="00887F5C">
        <w:t xml:space="preserve"> 2</w:t>
      </w:r>
    </w:p>
    <w:p w:rsidR="000F6847" w:rsidRDefault="005F6C23" w:rsidP="005F6C23">
      <w:pPr>
        <w:ind w:left="4956"/>
        <w:jc w:val="right"/>
      </w:pPr>
      <w:r w:rsidRPr="00887F5C">
        <w:t xml:space="preserve"> к постановлению администрации </w:t>
      </w:r>
    </w:p>
    <w:p w:rsidR="005F6C23" w:rsidRPr="00887F5C" w:rsidRDefault="00E80F1E" w:rsidP="005F6C23">
      <w:pPr>
        <w:ind w:left="4956"/>
        <w:jc w:val="right"/>
      </w:pPr>
      <w:r>
        <w:t>Майского</w:t>
      </w:r>
      <w:r w:rsidR="005F6C23" w:rsidRPr="00887F5C">
        <w:t xml:space="preserve"> сельсовета</w:t>
      </w:r>
    </w:p>
    <w:p w:rsidR="005F6C23" w:rsidRPr="00887F5C" w:rsidRDefault="005F6C23" w:rsidP="005F6C23">
      <w:pPr>
        <w:ind w:left="4956"/>
        <w:jc w:val="right"/>
      </w:pPr>
      <w:r w:rsidRPr="00887F5C">
        <w:t xml:space="preserve"> Краснозерского района </w:t>
      </w:r>
    </w:p>
    <w:p w:rsidR="005F6C23" w:rsidRPr="00887F5C" w:rsidRDefault="005F6C23" w:rsidP="005F6C23">
      <w:pPr>
        <w:ind w:left="4956"/>
        <w:jc w:val="right"/>
      </w:pPr>
      <w:r w:rsidRPr="00887F5C">
        <w:t>Новосибирской области</w:t>
      </w:r>
    </w:p>
    <w:p w:rsidR="005F6C23" w:rsidRPr="00887F5C" w:rsidRDefault="005F6C23" w:rsidP="005D1A6A">
      <w:pPr>
        <w:ind w:left="4956"/>
        <w:jc w:val="right"/>
      </w:pPr>
      <w:r w:rsidRPr="00887F5C">
        <w:t xml:space="preserve"> от </w:t>
      </w:r>
      <w:r w:rsidR="00E80F1E">
        <w:t>30</w:t>
      </w:r>
      <w:r w:rsidRPr="00887F5C">
        <w:t>.</w:t>
      </w:r>
      <w:r w:rsidR="005A0904">
        <w:t>0</w:t>
      </w:r>
      <w:r w:rsidR="00E80F1E">
        <w:t>7</w:t>
      </w:r>
      <w:r w:rsidRPr="00887F5C">
        <w:t>.201</w:t>
      </w:r>
      <w:r w:rsidR="00353294">
        <w:t>9</w:t>
      </w:r>
      <w:r w:rsidRPr="00887F5C">
        <w:t xml:space="preserve">г. № </w:t>
      </w:r>
      <w:r w:rsidR="00E80F1E">
        <w:t>35</w:t>
      </w:r>
    </w:p>
    <w:p w:rsidR="005F6C23" w:rsidRPr="00887F5C" w:rsidRDefault="005F6C23" w:rsidP="005F6C23">
      <w:pPr>
        <w:jc w:val="center"/>
        <w:rPr>
          <w:sz w:val="28"/>
          <w:szCs w:val="28"/>
        </w:rPr>
      </w:pPr>
      <w:r w:rsidRPr="00887F5C">
        <w:rPr>
          <w:sz w:val="28"/>
          <w:szCs w:val="28"/>
        </w:rPr>
        <w:t>Изменение сводной бюджетной росписи</w:t>
      </w:r>
    </w:p>
    <w:p w:rsidR="005F6C23" w:rsidRPr="006B63EE" w:rsidRDefault="006B63EE" w:rsidP="005F6C23">
      <w:pPr>
        <w:jc w:val="center"/>
        <w:rPr>
          <w:sz w:val="28"/>
          <w:szCs w:val="28"/>
        </w:rPr>
      </w:pPr>
      <w:r w:rsidRPr="006B63EE">
        <w:rPr>
          <w:sz w:val="28"/>
          <w:szCs w:val="28"/>
        </w:rPr>
        <w:t>по расходом</w:t>
      </w:r>
    </w:p>
    <w:tbl>
      <w:tblPr>
        <w:tblW w:w="10666" w:type="dxa"/>
        <w:jc w:val="center"/>
        <w:tblLayout w:type="fixed"/>
        <w:tblLook w:val="00A0"/>
      </w:tblPr>
      <w:tblGrid>
        <w:gridCol w:w="2920"/>
        <w:gridCol w:w="900"/>
        <w:gridCol w:w="540"/>
        <w:gridCol w:w="549"/>
        <w:gridCol w:w="1757"/>
        <w:gridCol w:w="34"/>
        <w:gridCol w:w="675"/>
        <w:gridCol w:w="45"/>
        <w:gridCol w:w="1026"/>
        <w:gridCol w:w="1178"/>
        <w:gridCol w:w="1042"/>
      </w:tblGrid>
      <w:tr w:rsidR="005F6C23" w:rsidRPr="00887F5C" w:rsidTr="005922B3">
        <w:trPr>
          <w:trHeight w:val="299"/>
          <w:jc w:val="center"/>
        </w:trPr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6C23" w:rsidRPr="00887F5C" w:rsidRDefault="005F6C23" w:rsidP="002234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F6C23" w:rsidRPr="00887F5C" w:rsidRDefault="005F6C23" w:rsidP="00BF4ED0">
            <w:pPr>
              <w:rPr>
                <w:sz w:val="20"/>
                <w:szCs w:val="20"/>
              </w:rPr>
            </w:pPr>
            <w:proofErr w:type="spellStart"/>
            <w:r w:rsidRPr="00887F5C">
              <w:rPr>
                <w:sz w:val="20"/>
                <w:szCs w:val="20"/>
              </w:rPr>
              <w:t>тыс.руб</w:t>
            </w:r>
            <w:proofErr w:type="spellEnd"/>
            <w:r w:rsidRPr="00887F5C">
              <w:rPr>
                <w:sz w:val="20"/>
                <w:szCs w:val="20"/>
              </w:rPr>
              <w:t>)</w:t>
            </w:r>
          </w:p>
        </w:tc>
      </w:tr>
      <w:tr w:rsidR="005F6C23" w:rsidRPr="00887F5C" w:rsidTr="005922B3">
        <w:trPr>
          <w:trHeight w:val="168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</w:rPr>
            </w:pPr>
            <w:r w:rsidRPr="00887F5C">
              <w:rPr>
                <w:color w:val="000000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BF4ED0" w:rsidRDefault="005F6C23" w:rsidP="0022348A">
            <w:pPr>
              <w:jc w:val="center"/>
              <w:rPr>
                <w:color w:val="000000"/>
                <w:sz w:val="16"/>
                <w:szCs w:val="16"/>
              </w:rPr>
            </w:pPr>
            <w:r w:rsidRPr="00BF4ED0"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C23" w:rsidRPr="00BF4ED0" w:rsidRDefault="005F6C23" w:rsidP="0022348A">
            <w:pPr>
              <w:jc w:val="center"/>
              <w:rPr>
                <w:sz w:val="20"/>
                <w:szCs w:val="20"/>
              </w:rPr>
            </w:pPr>
            <w:r w:rsidRPr="00BF4ED0">
              <w:rPr>
                <w:sz w:val="20"/>
                <w:szCs w:val="20"/>
              </w:rPr>
              <w:t>Показатели сводной бюджетной росписи, утвержденные решением о бюджете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C23" w:rsidRPr="00BF4ED0" w:rsidRDefault="005F6C23" w:rsidP="0022348A">
            <w:pPr>
              <w:jc w:val="center"/>
              <w:rPr>
                <w:sz w:val="20"/>
                <w:szCs w:val="20"/>
              </w:rPr>
            </w:pPr>
            <w:r w:rsidRPr="00BF4ED0">
              <w:rPr>
                <w:sz w:val="20"/>
                <w:szCs w:val="20"/>
              </w:rPr>
              <w:t xml:space="preserve">Вносимые изменения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6C23" w:rsidRPr="00BF4ED0" w:rsidRDefault="005F6C23" w:rsidP="0022348A">
            <w:pPr>
              <w:jc w:val="center"/>
              <w:rPr>
                <w:sz w:val="20"/>
                <w:szCs w:val="20"/>
              </w:rPr>
            </w:pPr>
            <w:r w:rsidRPr="00BF4ED0">
              <w:rPr>
                <w:sz w:val="20"/>
                <w:szCs w:val="20"/>
              </w:rPr>
              <w:t>Показатели сводной бюджетной росписи с учетом внесенных изменений</w:t>
            </w:r>
          </w:p>
        </w:tc>
      </w:tr>
      <w:tr w:rsidR="005F6C23" w:rsidRPr="00CD2495" w:rsidTr="005922B3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C007D1">
            <w:pPr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color w:val="000000"/>
                <w:sz w:val="20"/>
                <w:szCs w:val="20"/>
              </w:rPr>
            </w:pPr>
            <w:r w:rsidRPr="00887F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6C23" w:rsidRPr="00887F5C" w:rsidRDefault="005F6C23" w:rsidP="0022348A">
            <w:pPr>
              <w:jc w:val="center"/>
              <w:rPr>
                <w:sz w:val="20"/>
                <w:szCs w:val="20"/>
              </w:rPr>
            </w:pPr>
            <w:r w:rsidRPr="00887F5C">
              <w:rPr>
                <w:sz w:val="20"/>
                <w:szCs w:val="20"/>
              </w:rPr>
              <w:t>9</w:t>
            </w:r>
          </w:p>
        </w:tc>
      </w:tr>
      <w:tr w:rsidR="00C007D1" w:rsidRPr="00CD2495" w:rsidTr="005922B3">
        <w:trPr>
          <w:trHeight w:val="481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07D1" w:rsidRPr="00BF4ED0" w:rsidRDefault="00C007D1" w:rsidP="00174AFE">
            <w:pPr>
              <w:rPr>
                <w:color w:val="000000"/>
                <w:sz w:val="20"/>
                <w:szCs w:val="20"/>
              </w:rPr>
            </w:pPr>
            <w:r w:rsidRPr="00BF4ED0">
              <w:rPr>
                <w:color w:val="000000"/>
                <w:sz w:val="20"/>
                <w:szCs w:val="20"/>
              </w:rPr>
              <w:t xml:space="preserve">Администрация </w:t>
            </w:r>
            <w:r w:rsidR="00E80F1E">
              <w:rPr>
                <w:color w:val="000000"/>
                <w:sz w:val="20"/>
                <w:szCs w:val="20"/>
              </w:rPr>
              <w:t>Майского</w:t>
            </w:r>
            <w:r w:rsidRPr="00BF4ED0">
              <w:rPr>
                <w:color w:val="000000"/>
                <w:sz w:val="20"/>
                <w:szCs w:val="20"/>
              </w:rPr>
              <w:t xml:space="preserve"> сельсовета Краснозерского </w:t>
            </w:r>
            <w:r w:rsidR="00F4345C" w:rsidRPr="00BF4ED0">
              <w:rPr>
                <w:color w:val="000000"/>
                <w:sz w:val="20"/>
                <w:szCs w:val="20"/>
              </w:rPr>
              <w:t>района Новосибирской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E80F1E" w:rsidP="00531C7C">
            <w:pPr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C007D1" w:rsidP="00531C7C">
            <w:pPr>
              <w:jc w:val="center"/>
              <w:rPr>
                <w:color w:val="000000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C007D1" w:rsidP="00531C7C">
            <w:pPr>
              <w:jc w:val="center"/>
              <w:rPr>
                <w:color w:val="00000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1D76" w:rsidRDefault="00C007D1" w:rsidP="00531C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B6685C" w:rsidRDefault="00C007D1" w:rsidP="00C007D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644B" w:rsidRDefault="00CF644B" w:rsidP="006B63EE">
            <w:pPr>
              <w:jc w:val="center"/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24452,0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644B" w:rsidRDefault="00CF644B" w:rsidP="00C007D1">
            <w:pPr>
              <w:jc w:val="center"/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-40</w:t>
            </w:r>
            <w:r w:rsidR="00115C06" w:rsidRPr="00CF644B">
              <w:rPr>
                <w:sz w:val="16"/>
                <w:szCs w:val="16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7D1" w:rsidRPr="00CF644B" w:rsidRDefault="00CF644B" w:rsidP="006B63EE">
            <w:pPr>
              <w:ind w:left="83" w:right="110" w:hanging="83"/>
              <w:jc w:val="center"/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24412,0</w:t>
            </w:r>
          </w:p>
        </w:tc>
      </w:tr>
      <w:tr w:rsidR="00CF644B" w:rsidRPr="00F4345C" w:rsidTr="00C20EB3">
        <w:trPr>
          <w:trHeight w:val="61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644B" w:rsidRDefault="00CF644B">
            <w:r w:rsidRPr="00570296">
              <w:rPr>
                <w:color w:val="000000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b/>
                <w:bCs/>
                <w:sz w:val="16"/>
                <w:szCs w:val="16"/>
              </w:rPr>
              <w:t> 10285,7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-40,0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 w:rsidP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b/>
                <w:bCs/>
                <w:sz w:val="16"/>
                <w:szCs w:val="16"/>
              </w:rPr>
              <w:t> </w:t>
            </w:r>
            <w:r w:rsidRPr="00CF644B">
              <w:rPr>
                <w:sz w:val="16"/>
                <w:szCs w:val="16"/>
              </w:rPr>
              <w:t>10245,7</w:t>
            </w:r>
          </w:p>
        </w:tc>
      </w:tr>
      <w:tr w:rsidR="00CF644B" w:rsidRPr="007E7C1D" w:rsidTr="00C20EB3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Непрограммные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направления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644B" w:rsidRDefault="00CF644B">
            <w:r w:rsidRPr="00570296">
              <w:rPr>
                <w:color w:val="000000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980000000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b/>
                <w:bCs/>
                <w:sz w:val="16"/>
                <w:szCs w:val="16"/>
              </w:rPr>
              <w:t>827,3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-40,0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787,3</w:t>
            </w:r>
          </w:p>
        </w:tc>
      </w:tr>
      <w:tr w:rsidR="00CF644B" w:rsidRPr="007E7C1D" w:rsidTr="00C20EB3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644B" w:rsidRDefault="00CF644B">
            <w:r w:rsidRPr="00570296">
              <w:rPr>
                <w:color w:val="000000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9800025140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b/>
                <w:bCs/>
                <w:sz w:val="16"/>
                <w:szCs w:val="16"/>
              </w:rPr>
              <w:t>827,3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b/>
                <w:bCs/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-40,0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787,3</w:t>
            </w:r>
          </w:p>
        </w:tc>
      </w:tr>
      <w:tr w:rsidR="00CF644B" w:rsidRPr="007E7C1D" w:rsidTr="00C20EB3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Закупка </w:t>
            </w:r>
            <w:proofErr w:type="spellStart"/>
            <w:r>
              <w:rPr>
                <w:sz w:val="16"/>
                <w:szCs w:val="16"/>
              </w:rPr>
              <w:t>товаров,работ</w:t>
            </w:r>
            <w:proofErr w:type="spellEnd"/>
            <w:r>
              <w:rPr>
                <w:sz w:val="16"/>
                <w:szCs w:val="16"/>
              </w:rPr>
              <w:t xml:space="preserve"> и услуг для государственных(муниципальных) нужд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644B" w:rsidRDefault="00CF644B">
            <w:r w:rsidRPr="00570296">
              <w:rPr>
                <w:color w:val="000000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9800025140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b/>
                <w:bCs/>
                <w:sz w:val="16"/>
                <w:szCs w:val="16"/>
              </w:rPr>
              <w:t>827,3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-40,0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787,3</w:t>
            </w:r>
          </w:p>
        </w:tc>
      </w:tr>
      <w:tr w:rsidR="00CF644B" w:rsidRPr="007E7C1D" w:rsidTr="00C20EB3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</w:t>
            </w:r>
            <w:proofErr w:type="spellStart"/>
            <w:r>
              <w:rPr>
                <w:sz w:val="16"/>
                <w:szCs w:val="16"/>
              </w:rPr>
              <w:t>товаров,работ</w:t>
            </w:r>
            <w:proofErr w:type="spellEnd"/>
            <w:r>
              <w:rPr>
                <w:sz w:val="16"/>
                <w:szCs w:val="16"/>
              </w:rPr>
              <w:t xml:space="preserve"> и услуг для государственных(муниципальных)нужд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644B" w:rsidRDefault="00CF644B">
            <w:r w:rsidRPr="00570296">
              <w:rPr>
                <w:color w:val="000000"/>
              </w:rPr>
              <w:t>210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9800025140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Default="00CF64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b/>
                <w:bCs/>
                <w:sz w:val="16"/>
                <w:szCs w:val="16"/>
              </w:rPr>
              <w:t>827,3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-40,0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44B" w:rsidRPr="00CF644B" w:rsidRDefault="00CF644B">
            <w:pPr>
              <w:rPr>
                <w:sz w:val="16"/>
                <w:szCs w:val="16"/>
              </w:rPr>
            </w:pPr>
            <w:r w:rsidRPr="00CF644B">
              <w:rPr>
                <w:sz w:val="16"/>
                <w:szCs w:val="16"/>
              </w:rPr>
              <w:t>787,3</w:t>
            </w:r>
          </w:p>
        </w:tc>
      </w:tr>
      <w:tr w:rsidR="00115C06" w:rsidRPr="007E7C1D" w:rsidTr="00081815">
        <w:trPr>
          <w:trHeight w:val="242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115C06" w:rsidP="00CF644B">
            <w:pPr>
              <w:rPr>
                <w:b/>
                <w:bCs/>
                <w:sz w:val="22"/>
                <w:szCs w:val="22"/>
              </w:rPr>
            </w:pPr>
            <w:r w:rsidRPr="00C64775">
              <w:rPr>
                <w:b/>
                <w:bCs/>
                <w:sz w:val="22"/>
                <w:szCs w:val="22"/>
              </w:rPr>
              <w:t> </w:t>
            </w:r>
            <w:r w:rsidR="00CF644B">
              <w:rPr>
                <w:b/>
                <w:bCs/>
                <w:sz w:val="22"/>
                <w:szCs w:val="22"/>
              </w:rPr>
              <w:t>24452,0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CF64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-40</w:t>
            </w:r>
            <w:r w:rsidR="00115C06" w:rsidRPr="00C64775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C06" w:rsidRPr="00C64775" w:rsidRDefault="00CF64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24412</w:t>
            </w:r>
            <w:r w:rsidR="00115C06" w:rsidRPr="00C64775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5F6C23" w:rsidRDefault="005F6C23" w:rsidP="00ED7821">
      <w:pPr>
        <w:rPr>
          <w:sz w:val="28"/>
          <w:szCs w:val="28"/>
        </w:rPr>
      </w:pPr>
    </w:p>
    <w:sectPr w:rsidR="005F6C23" w:rsidSect="00115C06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D94CCA"/>
    <w:rsid w:val="000330C4"/>
    <w:rsid w:val="0007221F"/>
    <w:rsid w:val="00095183"/>
    <w:rsid w:val="000A693F"/>
    <w:rsid w:val="000C68B4"/>
    <w:rsid w:val="000E1BF8"/>
    <w:rsid w:val="000F6847"/>
    <w:rsid w:val="00115C06"/>
    <w:rsid w:val="00120745"/>
    <w:rsid w:val="0015605D"/>
    <w:rsid w:val="0016065B"/>
    <w:rsid w:val="00165E3D"/>
    <w:rsid w:val="00174AFE"/>
    <w:rsid w:val="00181E60"/>
    <w:rsid w:val="00191040"/>
    <w:rsid w:val="001954AE"/>
    <w:rsid w:val="001B1FA4"/>
    <w:rsid w:val="001F27EE"/>
    <w:rsid w:val="0020401F"/>
    <w:rsid w:val="002060CC"/>
    <w:rsid w:val="00206CE2"/>
    <w:rsid w:val="00211496"/>
    <w:rsid w:val="00233366"/>
    <w:rsid w:val="00243033"/>
    <w:rsid w:val="00260ED9"/>
    <w:rsid w:val="002915F3"/>
    <w:rsid w:val="0029666B"/>
    <w:rsid w:val="002A22E5"/>
    <w:rsid w:val="002D7F89"/>
    <w:rsid w:val="002E36B0"/>
    <w:rsid w:val="002E50B7"/>
    <w:rsid w:val="002F4E87"/>
    <w:rsid w:val="00324F27"/>
    <w:rsid w:val="00337C5E"/>
    <w:rsid w:val="00353294"/>
    <w:rsid w:val="003652D6"/>
    <w:rsid w:val="003670B9"/>
    <w:rsid w:val="00391D27"/>
    <w:rsid w:val="00395346"/>
    <w:rsid w:val="003B001F"/>
    <w:rsid w:val="003B06A8"/>
    <w:rsid w:val="003B126C"/>
    <w:rsid w:val="003B17FF"/>
    <w:rsid w:val="003D265C"/>
    <w:rsid w:val="00416555"/>
    <w:rsid w:val="004213C1"/>
    <w:rsid w:val="00421FFF"/>
    <w:rsid w:val="00430DF9"/>
    <w:rsid w:val="00436C4A"/>
    <w:rsid w:val="0044048E"/>
    <w:rsid w:val="00481DD9"/>
    <w:rsid w:val="00481F0E"/>
    <w:rsid w:val="004863AE"/>
    <w:rsid w:val="004A0390"/>
    <w:rsid w:val="004E1EDB"/>
    <w:rsid w:val="00501413"/>
    <w:rsid w:val="0050624D"/>
    <w:rsid w:val="00531C7C"/>
    <w:rsid w:val="00537935"/>
    <w:rsid w:val="00544A3D"/>
    <w:rsid w:val="00546A06"/>
    <w:rsid w:val="00574C7E"/>
    <w:rsid w:val="00581F51"/>
    <w:rsid w:val="005823DD"/>
    <w:rsid w:val="00587EC8"/>
    <w:rsid w:val="005922B3"/>
    <w:rsid w:val="005A0904"/>
    <w:rsid w:val="005D17E6"/>
    <w:rsid w:val="005D1A6A"/>
    <w:rsid w:val="005E1443"/>
    <w:rsid w:val="005E7E2E"/>
    <w:rsid w:val="005F5AC7"/>
    <w:rsid w:val="005F6C23"/>
    <w:rsid w:val="00604048"/>
    <w:rsid w:val="00604683"/>
    <w:rsid w:val="00612164"/>
    <w:rsid w:val="006134D9"/>
    <w:rsid w:val="0061593C"/>
    <w:rsid w:val="006252A7"/>
    <w:rsid w:val="00634554"/>
    <w:rsid w:val="00634BD2"/>
    <w:rsid w:val="00651D7F"/>
    <w:rsid w:val="0066480A"/>
    <w:rsid w:val="0066536C"/>
    <w:rsid w:val="00667F09"/>
    <w:rsid w:val="00673FC1"/>
    <w:rsid w:val="0068708D"/>
    <w:rsid w:val="00693FA9"/>
    <w:rsid w:val="006B1B39"/>
    <w:rsid w:val="006B63EE"/>
    <w:rsid w:val="006D1D8F"/>
    <w:rsid w:val="006F0424"/>
    <w:rsid w:val="007179A5"/>
    <w:rsid w:val="0075042D"/>
    <w:rsid w:val="007557A2"/>
    <w:rsid w:val="00791A30"/>
    <w:rsid w:val="00793BE3"/>
    <w:rsid w:val="00796294"/>
    <w:rsid w:val="007A0239"/>
    <w:rsid w:val="007A48DE"/>
    <w:rsid w:val="007B1610"/>
    <w:rsid w:val="007D0EB4"/>
    <w:rsid w:val="007D4C42"/>
    <w:rsid w:val="007F0253"/>
    <w:rsid w:val="007F2746"/>
    <w:rsid w:val="007F39EE"/>
    <w:rsid w:val="00801FC3"/>
    <w:rsid w:val="00802B9A"/>
    <w:rsid w:val="008050AF"/>
    <w:rsid w:val="0080782C"/>
    <w:rsid w:val="00834600"/>
    <w:rsid w:val="00844A65"/>
    <w:rsid w:val="008517CF"/>
    <w:rsid w:val="008563CD"/>
    <w:rsid w:val="008609B6"/>
    <w:rsid w:val="00862127"/>
    <w:rsid w:val="00862D7C"/>
    <w:rsid w:val="00887F5C"/>
    <w:rsid w:val="008D0B51"/>
    <w:rsid w:val="008D330C"/>
    <w:rsid w:val="008D66A3"/>
    <w:rsid w:val="008E7B77"/>
    <w:rsid w:val="008F211B"/>
    <w:rsid w:val="008F28C3"/>
    <w:rsid w:val="008F34B9"/>
    <w:rsid w:val="00903807"/>
    <w:rsid w:val="00907B3A"/>
    <w:rsid w:val="009377CE"/>
    <w:rsid w:val="00951DB2"/>
    <w:rsid w:val="00975DA1"/>
    <w:rsid w:val="00990DA3"/>
    <w:rsid w:val="009B24F7"/>
    <w:rsid w:val="009D3C92"/>
    <w:rsid w:val="00A00D51"/>
    <w:rsid w:val="00A058C7"/>
    <w:rsid w:val="00A13655"/>
    <w:rsid w:val="00A1740B"/>
    <w:rsid w:val="00A22B25"/>
    <w:rsid w:val="00A426A1"/>
    <w:rsid w:val="00A5586C"/>
    <w:rsid w:val="00A576CF"/>
    <w:rsid w:val="00A838D2"/>
    <w:rsid w:val="00A83B5F"/>
    <w:rsid w:val="00A93B93"/>
    <w:rsid w:val="00AA02FF"/>
    <w:rsid w:val="00AA7F07"/>
    <w:rsid w:val="00AE005A"/>
    <w:rsid w:val="00B005B9"/>
    <w:rsid w:val="00B3072C"/>
    <w:rsid w:val="00B318EF"/>
    <w:rsid w:val="00B369AD"/>
    <w:rsid w:val="00B539AA"/>
    <w:rsid w:val="00B66068"/>
    <w:rsid w:val="00B6685C"/>
    <w:rsid w:val="00B764DE"/>
    <w:rsid w:val="00B85D1C"/>
    <w:rsid w:val="00B90380"/>
    <w:rsid w:val="00B93FEC"/>
    <w:rsid w:val="00BB36BE"/>
    <w:rsid w:val="00BC3EF5"/>
    <w:rsid w:val="00BD07B2"/>
    <w:rsid w:val="00BF4ED0"/>
    <w:rsid w:val="00C006A6"/>
    <w:rsid w:val="00C007D1"/>
    <w:rsid w:val="00C217BB"/>
    <w:rsid w:val="00C36125"/>
    <w:rsid w:val="00C41A21"/>
    <w:rsid w:val="00C45AA7"/>
    <w:rsid w:val="00C6221B"/>
    <w:rsid w:val="00C64775"/>
    <w:rsid w:val="00C83087"/>
    <w:rsid w:val="00C84291"/>
    <w:rsid w:val="00C90576"/>
    <w:rsid w:val="00C97922"/>
    <w:rsid w:val="00CA01D8"/>
    <w:rsid w:val="00CA2579"/>
    <w:rsid w:val="00CD2495"/>
    <w:rsid w:val="00CD35A8"/>
    <w:rsid w:val="00CE5943"/>
    <w:rsid w:val="00CE6A73"/>
    <w:rsid w:val="00CF1D76"/>
    <w:rsid w:val="00CF644B"/>
    <w:rsid w:val="00D050FB"/>
    <w:rsid w:val="00D121F1"/>
    <w:rsid w:val="00D27799"/>
    <w:rsid w:val="00D34115"/>
    <w:rsid w:val="00D36145"/>
    <w:rsid w:val="00D36998"/>
    <w:rsid w:val="00D475F6"/>
    <w:rsid w:val="00D62277"/>
    <w:rsid w:val="00D62566"/>
    <w:rsid w:val="00D82E77"/>
    <w:rsid w:val="00D90C62"/>
    <w:rsid w:val="00D91A77"/>
    <w:rsid w:val="00D94CCA"/>
    <w:rsid w:val="00DA01EA"/>
    <w:rsid w:val="00DA2408"/>
    <w:rsid w:val="00DA6619"/>
    <w:rsid w:val="00DD101A"/>
    <w:rsid w:val="00DE3BFE"/>
    <w:rsid w:val="00E03562"/>
    <w:rsid w:val="00E5547D"/>
    <w:rsid w:val="00E5723D"/>
    <w:rsid w:val="00E80F1E"/>
    <w:rsid w:val="00E82F77"/>
    <w:rsid w:val="00E84E04"/>
    <w:rsid w:val="00E91858"/>
    <w:rsid w:val="00EA0D0D"/>
    <w:rsid w:val="00EA51FD"/>
    <w:rsid w:val="00EB4620"/>
    <w:rsid w:val="00ED7821"/>
    <w:rsid w:val="00ED7D51"/>
    <w:rsid w:val="00EF5A1A"/>
    <w:rsid w:val="00F01F1A"/>
    <w:rsid w:val="00F034F8"/>
    <w:rsid w:val="00F4345C"/>
    <w:rsid w:val="00F4616F"/>
    <w:rsid w:val="00F47330"/>
    <w:rsid w:val="00F7308D"/>
    <w:rsid w:val="00FB7D1B"/>
    <w:rsid w:val="00FC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11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21F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DCF11-25E7-45C9-9B12-3760F6291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КАЙГОРОДСКОГО СЕЛЬСОВЕТА</vt:lpstr>
    </vt:vector>
  </TitlesOfParts>
  <Company>SPecialiST RePack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КАЙГОРОДСКОГО СЕЛЬСОВЕТА</dc:title>
  <dc:creator>nmts</dc:creator>
  <cp:lastModifiedBy>777</cp:lastModifiedBy>
  <cp:revision>6</cp:revision>
  <cp:lastPrinted>2019-07-31T04:37:00Z</cp:lastPrinted>
  <dcterms:created xsi:type="dcterms:W3CDTF">2019-07-31T04:15:00Z</dcterms:created>
  <dcterms:modified xsi:type="dcterms:W3CDTF">2019-07-31T04:39:00Z</dcterms:modified>
</cp:coreProperties>
</file>